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F" w:rsidRPr="00317B00" w:rsidRDefault="00D451F4" w:rsidP="00D451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17B00">
        <w:rPr>
          <w:rFonts w:ascii="Calibri" w:hAnsi="Calibri" w:cs="Calibr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317B00">
        <w:rPr>
          <w:rFonts w:ascii="Calibri" w:hAnsi="Calibri" w:cs="Calibri"/>
          <w:b/>
          <w:bCs/>
          <w:sz w:val="22"/>
          <w:szCs w:val="22"/>
          <w:u w:val="single"/>
        </w:rPr>
        <w:t>DI</w:t>
      </w:r>
      <w:proofErr w:type="spellEnd"/>
      <w:r w:rsidRPr="00317B00">
        <w:rPr>
          <w:rFonts w:ascii="Calibri" w:hAnsi="Calibri" w:cs="Calibri"/>
          <w:b/>
          <w:bCs/>
          <w:sz w:val="22"/>
          <w:szCs w:val="22"/>
          <w:u w:val="single"/>
        </w:rPr>
        <w:t xml:space="preserve"> VOTO </w:t>
      </w:r>
      <w:r w:rsidR="00326EBF" w:rsidRPr="00317B00">
        <w:rPr>
          <w:rFonts w:ascii="Calibri" w:hAnsi="Calibri" w:cs="Calibri"/>
          <w:b/>
          <w:bCs/>
          <w:sz w:val="22"/>
          <w:szCs w:val="22"/>
          <w:u w:val="single"/>
        </w:rPr>
        <w:t xml:space="preserve">DEI CONSIGLIERI COMUNALI </w:t>
      </w:r>
      <w:r w:rsidR="0089630A" w:rsidRPr="00317B0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317B00">
        <w:rPr>
          <w:rFonts w:ascii="Calibri" w:hAnsi="Calibri" w:cs="Calibri"/>
          <w:b/>
          <w:bCs/>
          <w:sz w:val="22"/>
          <w:szCs w:val="22"/>
          <w:u w:val="single"/>
        </w:rPr>
        <w:t>AL BILANCIO 2025-2027</w:t>
      </w:r>
    </w:p>
    <w:p w:rsidR="00D451F4" w:rsidRPr="00317B00" w:rsidRDefault="00D451F4" w:rsidP="00D451F4">
      <w:pPr>
        <w:rPr>
          <w:rFonts w:ascii="Calibri" w:hAnsi="Calibri" w:cs="Calibri"/>
          <w:sz w:val="22"/>
          <w:szCs w:val="22"/>
        </w:rPr>
      </w:pPr>
    </w:p>
    <w:p w:rsidR="00D451F4" w:rsidRPr="00317B00" w:rsidRDefault="00D451F4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VISTA</w:t>
      </w:r>
      <w:r w:rsidRPr="00317B00">
        <w:rPr>
          <w:rFonts w:ascii="Calibri" w:hAnsi="Calibri" w:cs="Calibri"/>
          <w:sz w:val="22"/>
          <w:szCs w:val="22"/>
        </w:rPr>
        <w:t xml:space="preserve"> la proposta di deliberazione del consiglio comunale n. 20 del 11.12.2024 avente ad oggetto: “</w:t>
      </w:r>
      <w:r w:rsidRPr="00317B00">
        <w:rPr>
          <w:rFonts w:ascii="Calibri" w:hAnsi="Calibri" w:cs="Calibri"/>
          <w:b/>
          <w:bCs/>
          <w:sz w:val="22"/>
          <w:szCs w:val="22"/>
        </w:rPr>
        <w:t xml:space="preserve">Approvazione del Bilancio di Previsione finanziario 2025-2027 art.151 </w:t>
      </w:r>
      <w:proofErr w:type="spellStart"/>
      <w:r w:rsidRPr="00317B00">
        <w:rPr>
          <w:rFonts w:ascii="Calibri" w:hAnsi="Calibri" w:cs="Calibri"/>
          <w:b/>
          <w:bCs/>
          <w:sz w:val="22"/>
          <w:szCs w:val="22"/>
        </w:rPr>
        <w:t>D.Lgs</w:t>
      </w:r>
      <w:proofErr w:type="spellEnd"/>
      <w:r w:rsidRPr="00317B00">
        <w:rPr>
          <w:rFonts w:ascii="Calibri" w:hAnsi="Calibri" w:cs="Calibri"/>
          <w:b/>
          <w:bCs/>
          <w:sz w:val="22"/>
          <w:szCs w:val="22"/>
        </w:rPr>
        <w:t xml:space="preserve"> 267/2000 ed art. 10 </w:t>
      </w:r>
      <w:proofErr w:type="spellStart"/>
      <w:r w:rsidRPr="00317B00">
        <w:rPr>
          <w:rFonts w:ascii="Calibri" w:hAnsi="Calibri" w:cs="Calibri"/>
          <w:b/>
          <w:bCs/>
          <w:sz w:val="22"/>
          <w:szCs w:val="22"/>
        </w:rPr>
        <w:t>D.Lgs</w:t>
      </w:r>
      <w:proofErr w:type="spellEnd"/>
      <w:r w:rsidRPr="00317B00">
        <w:rPr>
          <w:rFonts w:ascii="Calibri" w:hAnsi="Calibri" w:cs="Calibri"/>
          <w:b/>
          <w:bCs/>
          <w:sz w:val="22"/>
          <w:szCs w:val="22"/>
        </w:rPr>
        <w:t xml:space="preserve"> n.118/2011</w:t>
      </w:r>
      <w:r w:rsidRPr="00317B00">
        <w:rPr>
          <w:rFonts w:ascii="Calibri" w:hAnsi="Calibri" w:cs="Calibri"/>
          <w:sz w:val="22"/>
          <w:szCs w:val="22"/>
        </w:rPr>
        <w:t>”</w:t>
      </w:r>
    </w:p>
    <w:p w:rsidR="00035FE7" w:rsidRPr="00317B00" w:rsidRDefault="00035FE7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DATO ATTO</w:t>
      </w:r>
      <w:r w:rsidRPr="00317B00">
        <w:rPr>
          <w:rFonts w:ascii="Calibri" w:hAnsi="Calibri" w:cs="Calibri"/>
          <w:sz w:val="22"/>
          <w:szCs w:val="22"/>
        </w:rPr>
        <w:t xml:space="preserve"> che per l’undicesimo anno consecutivo l’ente continua a mantenere l’IMU, più le altre imposte e tasse di spettanza locale dell’ente, al massimo consentito della legge, art.251 Tuel per mantenere l’equilibrio di parte corrente del bilancio</w:t>
      </w:r>
    </w:p>
    <w:p w:rsidR="00035FE7" w:rsidRPr="00317B00" w:rsidRDefault="00035FE7" w:rsidP="005B07F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 xml:space="preserve">CONSIDERATO </w:t>
      </w:r>
      <w:r w:rsidRPr="00317B00">
        <w:rPr>
          <w:rFonts w:ascii="Calibri" w:hAnsi="Calibri" w:cs="Calibri"/>
          <w:sz w:val="22"/>
          <w:szCs w:val="22"/>
        </w:rPr>
        <w:t xml:space="preserve">che l’ente ha dichiarato il dissesto finanziario l’8.11.2016 e che il periodo di procedura di risanamento finanziario è decorso dal 01.01.2015 al 31.12.2019 </w:t>
      </w:r>
      <w:r w:rsidR="003A1344" w:rsidRPr="00317B00">
        <w:rPr>
          <w:rFonts w:ascii="Calibri" w:hAnsi="Calibri" w:cs="Calibri"/>
          <w:sz w:val="22"/>
          <w:szCs w:val="22"/>
        </w:rPr>
        <w:t>così come prescritto nel decreto ministeriale</w:t>
      </w:r>
      <w:r w:rsidR="009D7722" w:rsidRPr="00317B00">
        <w:rPr>
          <w:rFonts w:ascii="Calibri" w:hAnsi="Calibri" w:cs="Calibri"/>
          <w:b/>
          <w:bCs/>
          <w:sz w:val="22"/>
          <w:szCs w:val="22"/>
          <w:u w:val="single"/>
        </w:rPr>
        <w:t>n.0160373 del 01.12.2017, notificato all’ente il 12.12.2017</w:t>
      </w:r>
    </w:p>
    <w:p w:rsidR="00035FE7" w:rsidRPr="00317B00" w:rsidRDefault="00035FE7" w:rsidP="005B07F3">
      <w:pPr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ACCERTATO</w:t>
      </w:r>
      <w:r w:rsidRPr="00317B00">
        <w:rPr>
          <w:rFonts w:ascii="Calibri" w:hAnsi="Calibri" w:cs="Calibri"/>
          <w:sz w:val="22"/>
          <w:szCs w:val="22"/>
        </w:rPr>
        <w:t xml:space="preserve"> che l’ultimo esercizio finanziario di procedura di dissesto, consuntivo 2019, s’è chiuso con un disavanzo di amministrazione di €. </w:t>
      </w:r>
      <w:r w:rsidRPr="00317B00">
        <w:rPr>
          <w:rFonts w:ascii="Calibri" w:hAnsi="Calibri" w:cs="Calibri"/>
          <w:b/>
          <w:sz w:val="22"/>
          <w:szCs w:val="22"/>
        </w:rPr>
        <w:t>7.376.226,46</w:t>
      </w:r>
      <w:r w:rsidRPr="00317B00">
        <w:rPr>
          <w:rFonts w:ascii="Calibri" w:hAnsi="Calibri" w:cs="Calibri"/>
          <w:bCs/>
          <w:sz w:val="22"/>
          <w:szCs w:val="22"/>
        </w:rPr>
        <w:t xml:space="preserve">applicato nel bilancio del comune di </w:t>
      </w:r>
      <w:r w:rsidR="00340D3E" w:rsidRPr="00317B00">
        <w:rPr>
          <w:rFonts w:ascii="Calibri" w:hAnsi="Calibri" w:cs="Calibri"/>
          <w:bCs/>
          <w:sz w:val="22"/>
          <w:szCs w:val="22"/>
        </w:rPr>
        <w:t>M</w:t>
      </w:r>
      <w:r w:rsidRPr="00317B00">
        <w:rPr>
          <w:rFonts w:ascii="Calibri" w:hAnsi="Calibri" w:cs="Calibri"/>
          <w:bCs/>
          <w:sz w:val="22"/>
          <w:szCs w:val="22"/>
        </w:rPr>
        <w:t>ilazzo</w:t>
      </w:r>
      <w:r w:rsidR="00340D3E" w:rsidRPr="00317B00">
        <w:rPr>
          <w:rFonts w:ascii="Calibri" w:hAnsi="Calibri" w:cs="Calibri"/>
          <w:bCs/>
          <w:sz w:val="22"/>
          <w:szCs w:val="22"/>
        </w:rPr>
        <w:t xml:space="preserve"> in rate di ammortamento</w:t>
      </w:r>
      <w:r w:rsidR="00340D3E" w:rsidRPr="00317B00">
        <w:rPr>
          <w:rFonts w:ascii="Calibri" w:hAnsi="Calibri" w:cs="Calibri"/>
          <w:sz w:val="22"/>
          <w:szCs w:val="22"/>
        </w:rPr>
        <w:t xml:space="preserve">costanti di </w:t>
      </w:r>
      <w:r w:rsidR="00340D3E" w:rsidRPr="00317B00">
        <w:rPr>
          <w:rFonts w:ascii="Calibri" w:hAnsi="Calibri" w:cs="Calibri"/>
          <w:b/>
          <w:bCs/>
          <w:sz w:val="22"/>
          <w:szCs w:val="22"/>
        </w:rPr>
        <w:t>€. 491.748,33</w:t>
      </w:r>
      <w:r w:rsidR="00340D3E" w:rsidRPr="00317B00">
        <w:rPr>
          <w:rFonts w:ascii="Calibri" w:hAnsi="Calibri" w:cs="Calibri"/>
          <w:sz w:val="22"/>
          <w:szCs w:val="22"/>
        </w:rPr>
        <w:t xml:space="preserve">per quindici anni e precisamente dal 01.01.2021 al 31.12.2035, </w:t>
      </w:r>
      <w:r w:rsidR="00340D3E" w:rsidRPr="00317B00">
        <w:rPr>
          <w:rFonts w:ascii="Calibri" w:hAnsi="Calibri" w:cs="Calibri"/>
          <w:i/>
          <w:iCs/>
          <w:sz w:val="22"/>
          <w:szCs w:val="22"/>
          <w:u w:val="single"/>
        </w:rPr>
        <w:t>in violazione dell’art.268 commi 1-2 Tuel e del combinato disposto normativo di cui all’art.265, commi 1-4 del Tuel</w:t>
      </w:r>
    </w:p>
    <w:p w:rsidR="00340D3E" w:rsidRPr="00317B00" w:rsidRDefault="000913D9" w:rsidP="005B07F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CONSTATATO</w:t>
      </w:r>
      <w:r w:rsidR="00340D3E" w:rsidRPr="00317B00">
        <w:rPr>
          <w:rFonts w:ascii="Calibri" w:hAnsi="Calibri" w:cs="Calibri"/>
          <w:sz w:val="22"/>
          <w:szCs w:val="22"/>
        </w:rPr>
        <w:t xml:space="preserve">che: l’Amministrazione, oggi in carica, </w:t>
      </w:r>
      <w:r w:rsidR="00E1293B" w:rsidRPr="00317B00">
        <w:rPr>
          <w:rFonts w:ascii="Calibri" w:hAnsi="Calibri" w:cs="Calibri"/>
          <w:sz w:val="22"/>
          <w:szCs w:val="22"/>
        </w:rPr>
        <w:t xml:space="preserve">nel dispositivo dell’atto consiliare </w:t>
      </w:r>
      <w:r w:rsidR="00E1293B" w:rsidRPr="00317B00">
        <w:rPr>
          <w:rFonts w:ascii="Calibri" w:hAnsi="Calibri" w:cs="Calibri"/>
          <w:b/>
          <w:bCs/>
          <w:sz w:val="22"/>
          <w:szCs w:val="22"/>
          <w:u w:val="single"/>
        </w:rPr>
        <w:t xml:space="preserve">n.94 del </w:t>
      </w:r>
      <w:r w:rsidR="000C6535" w:rsidRPr="00317B00">
        <w:rPr>
          <w:rFonts w:ascii="Calibri" w:hAnsi="Calibri" w:cs="Calibri"/>
          <w:b/>
          <w:bCs/>
          <w:sz w:val="22"/>
          <w:szCs w:val="22"/>
          <w:u w:val="single"/>
        </w:rPr>
        <w:t>29</w:t>
      </w:r>
      <w:r w:rsidR="00E1293B" w:rsidRPr="00317B00">
        <w:rPr>
          <w:rFonts w:ascii="Calibri" w:hAnsi="Calibri" w:cs="Calibri"/>
          <w:b/>
          <w:bCs/>
          <w:sz w:val="22"/>
          <w:szCs w:val="22"/>
          <w:u w:val="single"/>
        </w:rPr>
        <w:t>.10.2024</w:t>
      </w:r>
      <w:r w:rsidR="00E1293B" w:rsidRPr="00317B00">
        <w:rPr>
          <w:rFonts w:ascii="Calibri" w:hAnsi="Calibri" w:cs="Calibri"/>
          <w:sz w:val="22"/>
          <w:szCs w:val="22"/>
        </w:rPr>
        <w:t xml:space="preserve"> avente ad oggetto: </w:t>
      </w:r>
      <w:r w:rsidR="000C6535" w:rsidRPr="00317B00">
        <w:rPr>
          <w:rFonts w:ascii="Calibri" w:hAnsi="Calibri" w:cs="Calibri"/>
          <w:sz w:val="22"/>
          <w:szCs w:val="22"/>
        </w:rPr>
        <w:t>“</w:t>
      </w:r>
      <w:r w:rsidR="000C6535" w:rsidRPr="00317B00">
        <w:rPr>
          <w:rFonts w:ascii="Calibri" w:hAnsi="Calibri" w:cs="Calibri"/>
          <w:b/>
          <w:bCs/>
          <w:sz w:val="22"/>
          <w:szCs w:val="22"/>
          <w:u w:val="single"/>
        </w:rPr>
        <w:t>Approvazione aliquote IMU anno 2020</w:t>
      </w:r>
      <w:r w:rsidR="000C6535" w:rsidRPr="00317B00">
        <w:rPr>
          <w:rFonts w:ascii="Calibri" w:hAnsi="Calibri" w:cs="Calibri"/>
          <w:sz w:val="22"/>
          <w:szCs w:val="22"/>
        </w:rPr>
        <w:t>” dichiarava che: &lt;</w:t>
      </w:r>
      <w:r w:rsidR="000C6535" w:rsidRPr="00317B00">
        <w:rPr>
          <w:rFonts w:ascii="Calibri" w:hAnsi="Calibri" w:cs="Calibri"/>
          <w:i/>
          <w:iCs/>
          <w:sz w:val="22"/>
          <w:szCs w:val="22"/>
        </w:rPr>
        <w:t xml:space="preserve">tenuto conto che il comune di </w:t>
      </w:r>
      <w:r w:rsidR="004351F3" w:rsidRPr="00317B00">
        <w:rPr>
          <w:rFonts w:ascii="Calibri" w:hAnsi="Calibri" w:cs="Calibri"/>
          <w:i/>
          <w:iCs/>
          <w:sz w:val="22"/>
          <w:szCs w:val="22"/>
        </w:rPr>
        <w:t>M</w:t>
      </w:r>
      <w:r w:rsidR="000C6535" w:rsidRPr="00317B00">
        <w:rPr>
          <w:rFonts w:ascii="Calibri" w:hAnsi="Calibri" w:cs="Calibri"/>
          <w:i/>
          <w:iCs/>
          <w:sz w:val="22"/>
          <w:szCs w:val="22"/>
        </w:rPr>
        <w:t>ilazzo allo stato si trova in dissesto finanziario e che,pertanto</w:t>
      </w:r>
      <w:r w:rsidR="004351F3" w:rsidRPr="00317B00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="004351F3" w:rsidRPr="00317B00">
        <w:rPr>
          <w:rFonts w:ascii="Calibri" w:hAnsi="Calibri" w:cs="Calibri"/>
          <w:i/>
          <w:iCs/>
          <w:sz w:val="22"/>
          <w:szCs w:val="22"/>
        </w:rPr>
        <w:t>ope</w:t>
      </w:r>
      <w:proofErr w:type="spellEnd"/>
      <w:r w:rsidR="004351F3" w:rsidRPr="00317B0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4351F3" w:rsidRPr="00317B00">
        <w:rPr>
          <w:rFonts w:ascii="Calibri" w:hAnsi="Calibri" w:cs="Calibri"/>
          <w:i/>
          <w:iCs/>
          <w:sz w:val="22"/>
          <w:szCs w:val="22"/>
        </w:rPr>
        <w:t>legis</w:t>
      </w:r>
      <w:proofErr w:type="spellEnd"/>
      <w:r w:rsidR="004351F3" w:rsidRPr="00317B00">
        <w:rPr>
          <w:rFonts w:ascii="Calibri" w:hAnsi="Calibri" w:cs="Calibri"/>
          <w:i/>
          <w:iCs/>
          <w:sz w:val="22"/>
          <w:szCs w:val="22"/>
        </w:rPr>
        <w:t>, le aliquote devono essere applicate nella misura massima ai fini della salvaguardia degli equilibri di bilancio, di mantenere il gettito degli anni precedenti……</w:t>
      </w:r>
      <w:r w:rsidR="004351F3" w:rsidRPr="00317B00">
        <w:rPr>
          <w:rFonts w:ascii="Calibri" w:hAnsi="Calibri" w:cs="Calibri"/>
          <w:sz w:val="22"/>
          <w:szCs w:val="22"/>
        </w:rPr>
        <w:t>&gt;</w:t>
      </w:r>
      <w:r w:rsidR="004351F3" w:rsidRPr="00317B00">
        <w:rPr>
          <w:rFonts w:ascii="Calibri" w:hAnsi="Calibri" w:cs="Calibri"/>
          <w:sz w:val="22"/>
          <w:szCs w:val="22"/>
          <w:u w:val="single"/>
        </w:rPr>
        <w:t>anni precede</w:t>
      </w:r>
      <w:r w:rsidR="009D7722" w:rsidRPr="00317B00">
        <w:rPr>
          <w:rFonts w:ascii="Calibri" w:hAnsi="Calibri" w:cs="Calibri"/>
          <w:sz w:val="22"/>
          <w:szCs w:val="22"/>
          <w:u w:val="single"/>
        </w:rPr>
        <w:t>nti</w:t>
      </w:r>
      <w:r w:rsidR="004351F3" w:rsidRPr="00317B00">
        <w:rPr>
          <w:rFonts w:ascii="Calibri" w:hAnsi="Calibri" w:cs="Calibri"/>
          <w:sz w:val="22"/>
          <w:szCs w:val="22"/>
          <w:u w:val="single"/>
        </w:rPr>
        <w:t>,</w:t>
      </w:r>
      <w:r w:rsidR="009D7722" w:rsidRPr="00317B00">
        <w:rPr>
          <w:rFonts w:ascii="Calibri" w:hAnsi="Calibri" w:cs="Calibri"/>
          <w:sz w:val="22"/>
          <w:szCs w:val="22"/>
          <w:u w:val="single"/>
        </w:rPr>
        <w:t xml:space="preserve"> da intendersi</w:t>
      </w:r>
      <w:r w:rsidR="00B53726" w:rsidRPr="00317B00">
        <w:rPr>
          <w:rFonts w:ascii="Calibri" w:hAnsi="Calibri" w:cs="Calibri"/>
          <w:sz w:val="22"/>
          <w:szCs w:val="22"/>
          <w:u w:val="single"/>
        </w:rPr>
        <w:t>,</w:t>
      </w:r>
      <w:r w:rsidR="004351F3" w:rsidRPr="00317B00">
        <w:rPr>
          <w:rFonts w:ascii="Calibri" w:hAnsi="Calibri" w:cs="Calibri"/>
          <w:sz w:val="22"/>
          <w:szCs w:val="22"/>
          <w:u w:val="single"/>
        </w:rPr>
        <w:t xml:space="preserve"> il periodo di procedura di dissesto</w:t>
      </w:r>
      <w:r w:rsidR="009D7722" w:rsidRPr="00317B00">
        <w:rPr>
          <w:rFonts w:ascii="Calibri" w:hAnsi="Calibri" w:cs="Calibri"/>
          <w:sz w:val="22"/>
          <w:szCs w:val="22"/>
          <w:u w:val="single"/>
        </w:rPr>
        <w:t xml:space="preserve"> finanziario</w:t>
      </w:r>
    </w:p>
    <w:p w:rsidR="00340D3E" w:rsidRPr="00317B00" w:rsidRDefault="000913D9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D</w:t>
      </w:r>
      <w:r w:rsidR="00E1293B" w:rsidRPr="00317B00">
        <w:rPr>
          <w:rFonts w:ascii="Calibri" w:hAnsi="Calibri" w:cs="Calibri"/>
          <w:b/>
          <w:bCs/>
          <w:sz w:val="22"/>
          <w:szCs w:val="22"/>
        </w:rPr>
        <w:t>ATO</w:t>
      </w:r>
      <w:r w:rsidRPr="00317B00">
        <w:rPr>
          <w:rFonts w:ascii="Calibri" w:hAnsi="Calibri" w:cs="Calibri"/>
          <w:b/>
          <w:bCs/>
          <w:sz w:val="22"/>
          <w:szCs w:val="22"/>
        </w:rPr>
        <w:t>ATTO</w:t>
      </w:r>
      <w:r w:rsidR="00E1293B"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che a tutt’oggi la delibera consiliare </w:t>
      </w:r>
      <w:r w:rsidR="00E1293B"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n.94 del </w:t>
      </w:r>
      <w:r w:rsidR="004351F3"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29</w:t>
      </w:r>
      <w:r w:rsidR="00E1293B"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.10.2020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  è </w:t>
      </w:r>
      <w:r w:rsidRPr="00317B0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il provvedimento contabile-finanziario che statuisce il ricorso sistemico dell’Amministrazione all’art.251 del </w:t>
      </w:r>
      <w:proofErr w:type="spellStart"/>
      <w:r w:rsidRPr="00317B00">
        <w:rPr>
          <w:rFonts w:ascii="Calibri" w:hAnsi="Calibri" w:cs="Calibri"/>
          <w:color w:val="000000" w:themeColor="text1"/>
          <w:sz w:val="22"/>
          <w:szCs w:val="22"/>
          <w:u w:val="single"/>
        </w:rPr>
        <w:t>Tuel</w:t>
      </w:r>
      <w:proofErr w:type="spellEnd"/>
      <w:r w:rsidR="0089630A" w:rsidRPr="00317B0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  <w:r w:rsidR="00FA5B8F"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ed </w:t>
      </w:r>
      <w:proofErr w:type="spellStart"/>
      <w:r w:rsidR="00FA5B8F" w:rsidRPr="00317B00">
        <w:rPr>
          <w:rFonts w:ascii="Calibri" w:hAnsi="Calibri" w:cs="Calibri"/>
          <w:color w:val="000000" w:themeColor="text1"/>
          <w:sz w:val="22"/>
          <w:szCs w:val="22"/>
        </w:rPr>
        <w:t>è</w:t>
      </w:r>
      <w:r w:rsidR="00E1293B" w:rsidRPr="00317B00">
        <w:rPr>
          <w:rFonts w:ascii="Calibri" w:hAnsi="Calibri" w:cs="Calibri"/>
          <w:sz w:val="22"/>
          <w:szCs w:val="22"/>
        </w:rPr>
        <w:t>parte</w:t>
      </w:r>
      <w:proofErr w:type="spellEnd"/>
      <w:r w:rsidR="00E1293B" w:rsidRPr="00317B00">
        <w:rPr>
          <w:rFonts w:ascii="Calibri" w:hAnsi="Calibri" w:cs="Calibri"/>
          <w:sz w:val="22"/>
          <w:szCs w:val="22"/>
        </w:rPr>
        <w:t xml:space="preserve"> integrante ed allegato fondamentale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di tutti i bilanci previsionali dell’ente </w:t>
      </w:r>
      <w:r w:rsidR="004351F3" w:rsidRPr="00317B00">
        <w:rPr>
          <w:rFonts w:ascii="Calibri" w:hAnsi="Calibri" w:cs="Calibri"/>
          <w:sz w:val="22"/>
          <w:szCs w:val="22"/>
        </w:rPr>
        <w:t xml:space="preserve">a decorrere dal </w:t>
      </w:r>
      <w:r w:rsidR="004351F3" w:rsidRPr="00317B00">
        <w:rPr>
          <w:rFonts w:ascii="Calibri" w:hAnsi="Calibri" w:cs="Calibri"/>
          <w:b/>
          <w:bCs/>
          <w:sz w:val="22"/>
          <w:szCs w:val="22"/>
          <w:u w:val="single"/>
        </w:rPr>
        <w:t>Bilancio 2020-2022</w:t>
      </w:r>
      <w:r w:rsidR="00853BC9" w:rsidRPr="00317B00">
        <w:rPr>
          <w:rFonts w:ascii="Calibri" w:hAnsi="Calibri" w:cs="Calibri"/>
          <w:sz w:val="22"/>
          <w:szCs w:val="22"/>
          <w:u w:val="single"/>
        </w:rPr>
        <w:t>,</w:t>
      </w:r>
      <w:r w:rsidR="004351F3" w:rsidRPr="00317B00">
        <w:rPr>
          <w:rFonts w:ascii="Calibri" w:hAnsi="Calibri" w:cs="Calibri"/>
          <w:sz w:val="22"/>
          <w:szCs w:val="22"/>
        </w:rPr>
        <w:t xml:space="preserve"> approvato con atto </w:t>
      </w:r>
      <w:r w:rsidR="00853BC9" w:rsidRPr="00317B00">
        <w:rPr>
          <w:rFonts w:ascii="Calibri" w:hAnsi="Calibri" w:cs="Calibri"/>
          <w:sz w:val="22"/>
          <w:szCs w:val="22"/>
        </w:rPr>
        <w:t>consiliare</w:t>
      </w:r>
      <w:r w:rsidR="004351F3" w:rsidRPr="00317B00">
        <w:rPr>
          <w:rFonts w:ascii="Calibri" w:hAnsi="Calibri" w:cs="Calibri"/>
          <w:b/>
          <w:bCs/>
          <w:sz w:val="22"/>
          <w:szCs w:val="22"/>
          <w:u w:val="single"/>
        </w:rPr>
        <w:t>n.118 del 24.12.2020</w:t>
      </w:r>
      <w:r w:rsidR="00853BC9" w:rsidRPr="00317B00">
        <w:rPr>
          <w:rFonts w:ascii="Calibri" w:hAnsi="Calibri" w:cs="Calibri"/>
          <w:sz w:val="22"/>
          <w:szCs w:val="22"/>
        </w:rPr>
        <w:t xml:space="preserve"> fino al Bilancio finanziario 2025-2027 stasera in discussione in aula consiliare</w:t>
      </w:r>
    </w:p>
    <w:p w:rsidR="00FA5B8F" w:rsidRPr="00317B00" w:rsidRDefault="00B53726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CONSIDERATO</w:t>
      </w:r>
      <w:r w:rsidR="00FA5B8F" w:rsidRPr="00317B00">
        <w:rPr>
          <w:rFonts w:ascii="Calibri" w:hAnsi="Calibri" w:cs="Calibri"/>
          <w:sz w:val="22"/>
          <w:szCs w:val="22"/>
        </w:rPr>
        <w:t xml:space="preserve"> che gli ultimi </w:t>
      </w:r>
      <w:r w:rsidRPr="00317B00">
        <w:rPr>
          <w:rFonts w:ascii="Calibri" w:hAnsi="Calibri" w:cs="Calibri"/>
          <w:sz w:val="22"/>
          <w:szCs w:val="22"/>
        </w:rPr>
        <w:t xml:space="preserve">cinque </w:t>
      </w:r>
      <w:r w:rsidR="00FA5B8F" w:rsidRPr="00317B00">
        <w:rPr>
          <w:rFonts w:ascii="Calibri" w:hAnsi="Calibri" w:cs="Calibri"/>
          <w:sz w:val="22"/>
          <w:szCs w:val="22"/>
        </w:rPr>
        <w:t xml:space="preserve">esercizi finanziari </w:t>
      </w:r>
      <w:r w:rsidRPr="00317B00">
        <w:rPr>
          <w:rFonts w:ascii="Calibri" w:hAnsi="Calibri" w:cs="Calibri"/>
          <w:sz w:val="22"/>
          <w:szCs w:val="22"/>
        </w:rPr>
        <w:t xml:space="preserve">2019-2023 </w:t>
      </w:r>
      <w:r w:rsidR="00FA5B8F" w:rsidRPr="00317B00">
        <w:rPr>
          <w:rFonts w:ascii="Calibri" w:hAnsi="Calibri" w:cs="Calibri"/>
          <w:sz w:val="22"/>
          <w:szCs w:val="22"/>
        </w:rPr>
        <w:t>l’ente</w:t>
      </w:r>
      <w:r w:rsidR="00F30B5B" w:rsidRPr="00317B00">
        <w:rPr>
          <w:rFonts w:ascii="Calibri" w:hAnsi="Calibri" w:cs="Calibri"/>
          <w:sz w:val="22"/>
          <w:szCs w:val="22"/>
        </w:rPr>
        <w:t xml:space="preserve"> </w:t>
      </w:r>
      <w:r w:rsidR="00FA5B8F" w:rsidRPr="00317B00">
        <w:rPr>
          <w:rFonts w:ascii="Calibri" w:hAnsi="Calibri" w:cs="Calibri"/>
          <w:sz w:val="22"/>
          <w:szCs w:val="22"/>
        </w:rPr>
        <w:t xml:space="preserve">ha riportato il seguente risultato di amministrazione: </w:t>
      </w:r>
    </w:p>
    <w:p w:rsidR="00FA5B8F" w:rsidRPr="00317B00" w:rsidRDefault="00FA5B8F" w:rsidP="00D451F4">
      <w:pPr>
        <w:rPr>
          <w:rFonts w:ascii="Calibri" w:hAnsi="Calibri" w:cs="Calibri"/>
          <w:sz w:val="22"/>
          <w:szCs w:val="22"/>
        </w:rPr>
      </w:pPr>
    </w:p>
    <w:p w:rsidR="00FA5B8F" w:rsidRPr="00317B00" w:rsidRDefault="00FA5B8F" w:rsidP="00FA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  <w:sz w:val="22"/>
          <w:szCs w:val="22"/>
        </w:rPr>
      </w:pPr>
      <w:r w:rsidRPr="00317B00">
        <w:rPr>
          <w:rFonts w:ascii="Calibri" w:hAnsi="Calibri" w:cs="Calibri"/>
          <w:b/>
          <w:sz w:val="22"/>
          <w:szCs w:val="22"/>
          <w:u w:val="single"/>
        </w:rPr>
        <w:t>DISAVANZO   AMMINISTRAZIONE</w:t>
      </w:r>
      <w:r w:rsidRPr="00317B00">
        <w:rPr>
          <w:rFonts w:ascii="Calibri" w:hAnsi="Calibri" w:cs="Calibri"/>
          <w:b/>
          <w:sz w:val="22"/>
          <w:szCs w:val="22"/>
        </w:rPr>
        <w:t xml:space="preserve">2019      €. 7.376.226,46   </w:t>
      </w:r>
      <w:r w:rsidRPr="00317B00">
        <w:rPr>
          <w:rFonts w:ascii="Calibri" w:hAnsi="Calibri" w:cs="Calibri"/>
          <w:b/>
          <w:sz w:val="22"/>
          <w:szCs w:val="22"/>
          <w:u w:val="single"/>
        </w:rPr>
        <w:t>Ultimo anno procedura dissesto</w:t>
      </w:r>
    </w:p>
    <w:p w:rsidR="00FA5B8F" w:rsidRPr="00317B00" w:rsidRDefault="00FA5B8F" w:rsidP="00FA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  <w:u w:val="single"/>
        </w:rPr>
      </w:pPr>
      <w:r w:rsidRPr="00317B00">
        <w:rPr>
          <w:rFonts w:ascii="Calibri" w:hAnsi="Calibri" w:cs="Calibri"/>
          <w:sz w:val="22"/>
          <w:szCs w:val="22"/>
        </w:rPr>
        <w:t>AVANZO          AMMINISTRAZIONE   2020      €. 2.191.052,89    1° anno nuovo ciclo bilancio</w:t>
      </w:r>
    </w:p>
    <w:p w:rsidR="00FA5B8F" w:rsidRPr="00317B00" w:rsidRDefault="00FA5B8F" w:rsidP="00FA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sz w:val="22"/>
          <w:szCs w:val="22"/>
        </w:rPr>
        <w:t>DISAVANZO    AMMINISTRAZIONE  2021      €. 6.872.762,04   2° anno nuovo ciclo bilancio</w:t>
      </w:r>
    </w:p>
    <w:p w:rsidR="00FA5B8F" w:rsidRPr="00317B00" w:rsidRDefault="00FA5B8F" w:rsidP="00FA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sz w:val="22"/>
          <w:szCs w:val="22"/>
        </w:rPr>
        <w:t>DISAVANZO    AMMINISTRAZIONE  2022      €. 8.524.985,33   3° anno nuovo ciclo bilancio</w:t>
      </w:r>
    </w:p>
    <w:p w:rsidR="00FA5B8F" w:rsidRPr="00317B00" w:rsidRDefault="00FA5B8F" w:rsidP="00FA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sz w:val="22"/>
          <w:szCs w:val="22"/>
        </w:rPr>
        <w:t>DISAVANZO    AMMINISTRAZIONE  2023      €. 7.313.791,24   4° anno nuovo ciclo bilancio</w:t>
      </w:r>
    </w:p>
    <w:p w:rsidR="00FA5B8F" w:rsidRPr="00317B00" w:rsidRDefault="00FA5B8F" w:rsidP="00D451F4">
      <w:pPr>
        <w:rPr>
          <w:rFonts w:ascii="Calibri" w:hAnsi="Calibri" w:cs="Calibri"/>
          <w:b/>
          <w:bCs/>
          <w:sz w:val="22"/>
          <w:szCs w:val="22"/>
        </w:rPr>
      </w:pPr>
    </w:p>
    <w:p w:rsidR="00FA5B8F" w:rsidRPr="00317B00" w:rsidRDefault="00FA5B8F" w:rsidP="005B07F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ACCERTATO</w:t>
      </w:r>
      <w:r w:rsidRPr="00317B00">
        <w:rPr>
          <w:rFonts w:ascii="Calibri" w:hAnsi="Calibri" w:cs="Calibri"/>
          <w:sz w:val="22"/>
          <w:szCs w:val="22"/>
        </w:rPr>
        <w:t xml:space="preserve"> che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nel consuntivo </w:t>
      </w: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2020</w:t>
      </w:r>
      <w:r w:rsidRPr="00317B00">
        <w:rPr>
          <w:rFonts w:ascii="Calibri" w:hAnsi="Calibri" w:cs="Calibri"/>
          <w:color w:val="000000" w:themeColor="text1"/>
          <w:sz w:val="22"/>
          <w:szCs w:val="22"/>
          <w:u w:val="single"/>
        </w:rPr>
        <w:t>,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 non è stato determinato correttamente il FCDE, rimasto uguale al 2019, facendo sì che il risultato di amministrazione risultasse in avanzo. </w:t>
      </w:r>
    </w:p>
    <w:p w:rsidR="00FA5B8F" w:rsidRPr="00317B00" w:rsidRDefault="00B65E65" w:rsidP="005B07F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ACCERTATE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le gravi irregolarità contabili e finanziarie nei 2 rendiconti di gestione 2021-2022 </w:t>
      </w:r>
    </w:p>
    <w:p w:rsidR="00FA5B8F" w:rsidRPr="00317B00" w:rsidRDefault="00B65E65" w:rsidP="005B07F3">
      <w:pPr>
        <w:jc w:val="both"/>
        <w:rPr>
          <w:rFonts w:ascii="Calibri" w:eastAsia="Calibri" w:hAnsi="Calibri" w:cs="Calibri"/>
          <w:i/>
          <w:color w:val="000000" w:themeColor="text1"/>
          <w:sz w:val="22"/>
          <w:szCs w:val="22"/>
        </w:rPr>
      </w:pP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</w:rPr>
        <w:t>CONSTATATA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la gravissima condotta contabile posta in essere dall’Amministrazione nella delibera consiliare n.83 del 30.08.2023 dove 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s’è proceduto </w:t>
      </w:r>
      <w:r w:rsidRPr="00317B0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alla differenza</w:t>
      </w:r>
      <w:r w:rsidR="00F30B5B" w:rsidRPr="00317B0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  <w:u w:val="single"/>
        </w:rPr>
        <w:t>del totale disavanzo dell’esercizio</w:t>
      </w:r>
      <w:r w:rsidRPr="00317B00">
        <w:rPr>
          <w:rFonts w:ascii="Calibri" w:eastAsia="Calibri" w:hAnsi="Calibri" w:cs="Calibri"/>
          <w:b/>
          <w:bCs/>
          <w:i/>
          <w:color w:val="000000" w:themeColor="text1"/>
          <w:sz w:val="22"/>
          <w:szCs w:val="22"/>
          <w:u w:val="single"/>
        </w:rPr>
        <w:t>2022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  <w:u w:val="single"/>
        </w:rPr>
        <w:t xml:space="preserve"> e cioè </w:t>
      </w:r>
      <w:r w:rsidRPr="00317B00">
        <w:rPr>
          <w:rFonts w:ascii="Calibri" w:eastAsia="Calibri" w:hAnsi="Calibri" w:cs="Calibri"/>
          <w:b/>
          <w:bCs/>
          <w:i/>
          <w:color w:val="000000" w:themeColor="text1"/>
          <w:sz w:val="22"/>
          <w:szCs w:val="22"/>
          <w:u w:val="single"/>
        </w:rPr>
        <w:t>€. 8.524.985,33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accertato nel provvedimento consiliare n.82 del 30.08.2023 e 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  <w:u w:val="single"/>
        </w:rPr>
        <w:t xml:space="preserve">la restante parte del disavanzo di amministrazione </w:t>
      </w:r>
      <w:r w:rsidRPr="00317B00">
        <w:rPr>
          <w:rFonts w:ascii="Calibri" w:eastAsia="Calibri" w:hAnsi="Calibri" w:cs="Calibri"/>
          <w:b/>
          <w:bCs/>
          <w:iCs/>
          <w:color w:val="000000" w:themeColor="text1"/>
          <w:sz w:val="22"/>
          <w:szCs w:val="22"/>
        </w:rPr>
        <w:t>2019,</w:t>
      </w:r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 xml:space="preserve"> ultimo anno di procedura di dissesto,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  <w:u w:val="single"/>
        </w:rPr>
        <w:t xml:space="preserve"> di €. </w:t>
      </w:r>
      <w:r w:rsidRPr="00317B00">
        <w:rPr>
          <w:rFonts w:ascii="Calibri" w:eastAsia="Calibri" w:hAnsi="Calibri" w:cs="Calibri"/>
          <w:b/>
          <w:bCs/>
          <w:i/>
          <w:color w:val="000000" w:themeColor="text1"/>
          <w:sz w:val="22"/>
          <w:szCs w:val="22"/>
          <w:u w:val="single"/>
        </w:rPr>
        <w:t>6.392.729,60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al 31.12.2022, per ottenere un disavanzo di </w:t>
      </w:r>
      <w:r w:rsidRPr="00317B00">
        <w:rPr>
          <w:rFonts w:ascii="Calibri" w:eastAsia="Calibri" w:hAnsi="Calibri" w:cs="Calibri"/>
          <w:b/>
          <w:bCs/>
          <w:i/>
          <w:color w:val="000000" w:themeColor="text1"/>
          <w:sz w:val="22"/>
          <w:szCs w:val="22"/>
        </w:rPr>
        <w:t>€. 2.132.255,73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“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  <w:u w:val="single"/>
        </w:rPr>
        <w:t>rideterminato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” </w:t>
      </w:r>
    </w:p>
    <w:p w:rsidR="00FA28F8" w:rsidRPr="00317B00" w:rsidRDefault="00FA28F8" w:rsidP="005B07F3">
      <w:pPr>
        <w:jc w:val="both"/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</w:pPr>
      <w:r w:rsidRPr="00317B00">
        <w:rPr>
          <w:rFonts w:ascii="Calibri" w:eastAsia="Calibri" w:hAnsi="Calibri" w:cs="Calibri"/>
          <w:b/>
          <w:bCs/>
          <w:iCs/>
          <w:color w:val="000000" w:themeColor="text1"/>
          <w:sz w:val="22"/>
          <w:szCs w:val="22"/>
        </w:rPr>
        <w:t>ACCERTATO</w:t>
      </w:r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 xml:space="preserve"> che </w:t>
      </w:r>
      <w:r w:rsidRPr="00317B00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tale procedura contabile-finanziaria per la “rideterminazione” di un disavanzo di amministrazione, </w:t>
      </w:r>
      <w:r w:rsidRPr="00317B0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che procede alla differenza tra due disavanzi di esercizi a differenza di 3 anni finanziari l’uno dall’altro </w:t>
      </w:r>
      <w:r w:rsidRPr="00317B00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/>
        </w:rPr>
        <w:t>non trova riscontro normativo nelle leggi della Finanza Locale della Repubblica italiana</w:t>
      </w:r>
    </w:p>
    <w:p w:rsidR="00FA28F8" w:rsidRPr="00317B00" w:rsidRDefault="00FA28F8" w:rsidP="005B07F3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317B00">
        <w:rPr>
          <w:rFonts w:ascii="Calibri" w:eastAsia="Calibri" w:hAnsi="Calibri" w:cs="Calibri"/>
          <w:b/>
          <w:iCs/>
          <w:color w:val="000000" w:themeColor="text1"/>
          <w:sz w:val="22"/>
          <w:szCs w:val="22"/>
        </w:rPr>
        <w:t>CONSIDERATO</w:t>
      </w:r>
      <w:r w:rsidRPr="00317B0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che l’unico fine </w:t>
      </w:r>
      <w:r w:rsidRPr="00317B00">
        <w:rPr>
          <w:rFonts w:ascii="Calibri" w:eastAsia="Calibri" w:hAnsi="Calibri" w:cs="Calibri"/>
          <w:b/>
          <w:iCs/>
          <w:color w:val="000000" w:themeColor="text1"/>
          <w:sz w:val="22"/>
          <w:szCs w:val="22"/>
          <w:u w:val="single"/>
        </w:rPr>
        <w:t>amministrativo-contabile-finanziario</w:t>
      </w:r>
      <w:r w:rsidRPr="00317B0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dell’Amministrazione è stato di porre in essere in tutti i bilanci condotte contabili scorrette per eludere l’applicazione del disavanzo di amministrazione di oltre </w:t>
      </w: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€. 35.779.282,88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>formatosi nei cinque consuntivi chiusi</w:t>
      </w:r>
    </w:p>
    <w:p w:rsidR="00FA28F8" w:rsidRPr="00317B00" w:rsidRDefault="00FA28F8" w:rsidP="005B07F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PRESO ATTO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>che in tutti e cinque i bilanci chiusi l’ente non ha mai applicato la norma finanziaria di cui all’art.188 del Tuel, addirittura l’ha reiterata in tutti consuntivi deliberati</w:t>
      </w:r>
    </w:p>
    <w:p w:rsidR="00FA28F8" w:rsidRPr="00317B00" w:rsidRDefault="00FA28F8" w:rsidP="005B07F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CONSTATATO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che nel bilancio 2025 nella parte </w:t>
      </w:r>
      <w:r w:rsidR="00B53726"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della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>spesa del Titolo I è applicat</w:t>
      </w:r>
      <w:r w:rsidR="000D6CA7" w:rsidRPr="00317B00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 l’ultima quota del disavanzo </w:t>
      </w:r>
      <w:r w:rsidR="00B53726" w:rsidRPr="00317B00">
        <w:rPr>
          <w:rFonts w:ascii="Calibri" w:hAnsi="Calibri" w:cs="Calibri"/>
          <w:color w:val="000000" w:themeColor="text1"/>
          <w:sz w:val="22"/>
          <w:szCs w:val="22"/>
        </w:rPr>
        <w:t>“</w:t>
      </w: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rideterminato</w:t>
      </w:r>
      <w:r w:rsidR="00B53726" w:rsidRPr="00317B00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”</w:t>
      </w:r>
      <w:r w:rsidR="000D6CA7" w:rsidRPr="00317B00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 in violazione della normativa contabile </w:t>
      </w:r>
      <w:r w:rsidR="000D6CA7"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degli EE.LL., 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nel provvedimento consiliare n.83/2023 </w:t>
      </w:r>
    </w:p>
    <w:p w:rsidR="00B53726" w:rsidRPr="00317B00" w:rsidRDefault="00B53726" w:rsidP="005B07F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</w:rPr>
        <w:t>TANT’È VERO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 che a decorrere dal Bilancio 2026 non ci sar</w:t>
      </w:r>
      <w:r w:rsidR="00EF480F" w:rsidRPr="00317B00">
        <w:rPr>
          <w:rFonts w:ascii="Calibri" w:hAnsi="Calibri" w:cs="Calibri"/>
          <w:color w:val="000000" w:themeColor="text1"/>
          <w:sz w:val="22"/>
          <w:szCs w:val="22"/>
        </w:rPr>
        <w:t>à più applicata alcuna quota di disavanzo se non la quota quindicinale del disavanzo scaturito dall’ultimo anno di procedura di dissesto ed applicato in violazione dell’art. 268, commi 1-2 del Tuel</w:t>
      </w:r>
    </w:p>
    <w:p w:rsidR="00EF480F" w:rsidRPr="00317B00" w:rsidRDefault="00EF480F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b/>
          <w:bCs/>
          <w:color w:val="000000" w:themeColor="text1"/>
          <w:sz w:val="22"/>
          <w:szCs w:val="22"/>
        </w:rPr>
        <w:t>ACCERTATA</w:t>
      </w:r>
      <w:r w:rsidRPr="00317B00">
        <w:rPr>
          <w:rFonts w:ascii="Calibri" w:hAnsi="Calibri" w:cs="Calibri"/>
          <w:color w:val="000000" w:themeColor="text1"/>
          <w:sz w:val="22"/>
          <w:szCs w:val="22"/>
        </w:rPr>
        <w:t xml:space="preserve"> la gravissima</w:t>
      </w:r>
      <w:r w:rsidRPr="00317B00">
        <w:rPr>
          <w:rFonts w:ascii="Calibri" w:hAnsi="Calibri" w:cs="Calibri"/>
          <w:sz w:val="22"/>
          <w:szCs w:val="22"/>
        </w:rPr>
        <w:t xml:space="preserve"> irregolarità contabile riguardo la riscossione dei ruoli Tari ed idrico, ormai diventata strutturale nell’ente, infatti sia durante i 5 anni della procedura di dissesto che nei 5 anni del nuovo ciclo di bilancio 2020-2024 il comune non ha mai riscosso un solo euro in conto competenza</w:t>
      </w:r>
    </w:p>
    <w:p w:rsidR="005E0A28" w:rsidRPr="00317B00" w:rsidRDefault="00EF480F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CONSTATATO</w:t>
      </w:r>
      <w:r w:rsidRPr="00317B00">
        <w:rPr>
          <w:rFonts w:ascii="Calibri" w:hAnsi="Calibri" w:cs="Calibri"/>
          <w:sz w:val="22"/>
          <w:szCs w:val="22"/>
        </w:rPr>
        <w:t xml:space="preserve"> che l’Amministrazione ha posto in essere le gravi condotte di cui all’art.188, art.268 d</w:t>
      </w:r>
      <w:r w:rsidR="00F30B5B" w:rsidRPr="00317B00">
        <w:rPr>
          <w:rFonts w:ascii="Calibri" w:hAnsi="Calibri" w:cs="Calibri"/>
          <w:sz w:val="22"/>
          <w:szCs w:val="22"/>
        </w:rPr>
        <w:t xml:space="preserve">el </w:t>
      </w:r>
      <w:proofErr w:type="spellStart"/>
      <w:r w:rsidR="00F30B5B" w:rsidRPr="00317B00">
        <w:rPr>
          <w:rFonts w:ascii="Calibri" w:hAnsi="Calibri" w:cs="Calibri"/>
          <w:sz w:val="22"/>
          <w:szCs w:val="22"/>
        </w:rPr>
        <w:t>Tuel</w:t>
      </w:r>
      <w:proofErr w:type="spellEnd"/>
      <w:r w:rsidR="00F30B5B" w:rsidRPr="00317B00">
        <w:rPr>
          <w:rFonts w:ascii="Calibri" w:hAnsi="Calibri" w:cs="Calibri"/>
          <w:sz w:val="22"/>
          <w:szCs w:val="22"/>
        </w:rPr>
        <w:t xml:space="preserve"> a nostro giudizio politico </w:t>
      </w:r>
      <w:r w:rsidR="005E0A28" w:rsidRPr="00317B00">
        <w:rPr>
          <w:rFonts w:ascii="Calibri" w:hAnsi="Calibri" w:cs="Calibri"/>
          <w:sz w:val="22"/>
          <w:szCs w:val="22"/>
        </w:rPr>
        <w:t xml:space="preserve"> solo fine di</w:t>
      </w:r>
      <w:r w:rsidRPr="00317B00">
        <w:rPr>
          <w:rFonts w:ascii="Calibri" w:hAnsi="Calibri" w:cs="Calibri"/>
          <w:sz w:val="22"/>
          <w:szCs w:val="22"/>
        </w:rPr>
        <w:t xml:space="preserve"> eludere lo sforament</w:t>
      </w:r>
      <w:r w:rsidR="005E0A28" w:rsidRPr="00317B00">
        <w:rPr>
          <w:rFonts w:ascii="Calibri" w:hAnsi="Calibri" w:cs="Calibri"/>
          <w:sz w:val="22"/>
          <w:szCs w:val="22"/>
        </w:rPr>
        <w:t>o</w:t>
      </w:r>
      <w:r w:rsidRPr="00317B00">
        <w:rPr>
          <w:rFonts w:ascii="Calibri" w:hAnsi="Calibri" w:cs="Calibri"/>
          <w:sz w:val="22"/>
          <w:szCs w:val="22"/>
        </w:rPr>
        <w:t xml:space="preserve"> del parametro di </w:t>
      </w:r>
      <w:proofErr w:type="spellStart"/>
      <w:r w:rsidRPr="00317B00">
        <w:rPr>
          <w:rFonts w:ascii="Calibri" w:hAnsi="Calibri" w:cs="Calibri"/>
          <w:sz w:val="22"/>
          <w:szCs w:val="22"/>
        </w:rPr>
        <w:t>deficitarieta</w:t>
      </w:r>
      <w:proofErr w:type="spellEnd"/>
      <w:r w:rsidR="00F30B5B" w:rsidRPr="00317B00">
        <w:rPr>
          <w:rFonts w:ascii="Calibri" w:hAnsi="Calibri" w:cs="Calibri"/>
          <w:sz w:val="22"/>
          <w:szCs w:val="22"/>
        </w:rPr>
        <w:t xml:space="preserve"> </w:t>
      </w:r>
      <w:r w:rsidRPr="00317B00">
        <w:rPr>
          <w:rFonts w:ascii="Calibri" w:hAnsi="Calibri" w:cs="Calibri"/>
          <w:b/>
          <w:bCs/>
          <w:sz w:val="22"/>
          <w:szCs w:val="22"/>
        </w:rPr>
        <w:t>P1</w:t>
      </w:r>
      <w:r w:rsidRPr="00317B00">
        <w:rPr>
          <w:rFonts w:ascii="Calibri" w:hAnsi="Calibri" w:cs="Calibri"/>
          <w:sz w:val="22"/>
          <w:szCs w:val="22"/>
        </w:rPr>
        <w:t>) di cui al decreto ministeriale 4 agosto 2023, in quanto sforando il parametro testé citato il comune di Milazzo sarebbe</w:t>
      </w:r>
      <w:r w:rsidR="00F30B5B" w:rsidRPr="00317B00">
        <w:rPr>
          <w:rFonts w:ascii="Calibri" w:hAnsi="Calibri" w:cs="Calibri"/>
          <w:sz w:val="22"/>
          <w:szCs w:val="22"/>
        </w:rPr>
        <w:t xml:space="preserve"> </w:t>
      </w:r>
      <w:r w:rsidRPr="00317B00">
        <w:rPr>
          <w:rFonts w:ascii="Calibri" w:hAnsi="Calibri" w:cs="Calibri"/>
          <w:sz w:val="22"/>
          <w:szCs w:val="22"/>
        </w:rPr>
        <w:t>dovuto essere individuato ente strutturalmente deficitario</w:t>
      </w:r>
      <w:r w:rsidR="005E0A28" w:rsidRPr="00317B00">
        <w:rPr>
          <w:rFonts w:ascii="Calibri" w:hAnsi="Calibri" w:cs="Calibri"/>
          <w:sz w:val="22"/>
          <w:szCs w:val="22"/>
        </w:rPr>
        <w:t xml:space="preserve"> ai sensi dell’art.242 del Tuel.</w:t>
      </w:r>
    </w:p>
    <w:p w:rsidR="00EF480F" w:rsidRPr="00317B00" w:rsidRDefault="005E0A28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ACCERTATO</w:t>
      </w:r>
      <w:r w:rsidRPr="00317B00">
        <w:rPr>
          <w:rFonts w:ascii="Calibri" w:hAnsi="Calibri" w:cs="Calibri"/>
          <w:sz w:val="22"/>
          <w:szCs w:val="22"/>
        </w:rPr>
        <w:t xml:space="preserve"> che quanto al precedente capo-verso descritto trova conferma nelle reiterate condotte finanziarie tenute dall’Amministrazione al riguardo delle tabelle dei parametri di </w:t>
      </w:r>
      <w:proofErr w:type="spellStart"/>
      <w:r w:rsidRPr="00317B00">
        <w:rPr>
          <w:rFonts w:ascii="Calibri" w:hAnsi="Calibri" w:cs="Calibri"/>
          <w:sz w:val="22"/>
          <w:szCs w:val="22"/>
        </w:rPr>
        <w:t>deficitarietà</w:t>
      </w:r>
      <w:proofErr w:type="spellEnd"/>
      <w:r w:rsidRPr="00317B00">
        <w:rPr>
          <w:rFonts w:ascii="Calibri" w:hAnsi="Calibri" w:cs="Calibri"/>
          <w:sz w:val="22"/>
          <w:szCs w:val="22"/>
        </w:rPr>
        <w:t xml:space="preserve"> allegati al conto di Bilancio 2021 e 2023 che in fase di approvazione dei rispettivi consuntivi veniva allegata la tabella con sforamento di due parametri su 8, mentre nella fase di approvazione del bilancio finanziario 2023-2025 e bilancio finanziario 2025-2027 (oggi discusso in aula) viene allegata la stessa tabella di </w:t>
      </w:r>
      <w:proofErr w:type="spellStart"/>
      <w:r w:rsidRPr="00317B00">
        <w:rPr>
          <w:rFonts w:ascii="Calibri" w:hAnsi="Calibri" w:cs="Calibri"/>
          <w:sz w:val="22"/>
          <w:szCs w:val="22"/>
        </w:rPr>
        <w:t>deficitarietà</w:t>
      </w:r>
      <w:proofErr w:type="spellEnd"/>
      <w:r w:rsidRPr="00317B00">
        <w:rPr>
          <w:rFonts w:ascii="Calibri" w:hAnsi="Calibri" w:cs="Calibri"/>
          <w:sz w:val="22"/>
          <w:szCs w:val="22"/>
        </w:rPr>
        <w:t xml:space="preserve"> con 3 parametri sforati cioè uno in più e precisamente il P5)  </w:t>
      </w:r>
    </w:p>
    <w:p w:rsidR="005E0A28" w:rsidRPr="00317B00" w:rsidRDefault="008F602C" w:rsidP="005B07F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5FDFE"/>
        </w:rPr>
      </w:pPr>
      <w:r w:rsidRPr="00317B00">
        <w:rPr>
          <w:rFonts w:ascii="Calibri" w:hAnsi="Calibri" w:cs="Calibri"/>
          <w:b/>
          <w:bCs/>
          <w:sz w:val="22"/>
          <w:szCs w:val="22"/>
        </w:rPr>
        <w:t>CONSIDERATO</w:t>
      </w:r>
      <w:r w:rsidR="005E0A28" w:rsidRPr="00317B00">
        <w:rPr>
          <w:rFonts w:ascii="Calibri" w:hAnsi="Calibri" w:cs="Calibri"/>
          <w:sz w:val="22"/>
          <w:szCs w:val="22"/>
        </w:rPr>
        <w:t xml:space="preserve"> che </w:t>
      </w:r>
      <w:r w:rsidRPr="00317B00">
        <w:rPr>
          <w:rFonts w:ascii="Calibri" w:hAnsi="Calibri" w:cs="Calibri"/>
          <w:sz w:val="22"/>
          <w:szCs w:val="22"/>
        </w:rPr>
        <w:t>il comune di Milazzo è da</w:t>
      </w:r>
      <w:r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>considerarsi in condizioni strutturalmente deficitarie in quanto presenta gravi ed incontrovertibili condizioni di squilibrio</w:t>
      </w:r>
      <w:r w:rsidRPr="00317B00">
        <w:rPr>
          <w:rFonts w:ascii="Calibri" w:hAnsi="Calibri" w:cs="Calibri"/>
          <w:b/>
          <w:color w:val="000000"/>
          <w:sz w:val="22"/>
          <w:szCs w:val="22"/>
          <w:shd w:val="clear" w:color="auto" w:fill="F5FDFE"/>
        </w:rPr>
        <w:t>, rilevabili solo ed esclusivamente da un accertamento ispettivo da parte degli Organi competenti</w:t>
      </w:r>
      <w:r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>. L’ente sfora sistematicamente 3 parametri deficitari su 8. Il parametro P</w:t>
      </w:r>
      <w:r w:rsidR="00326EBF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 xml:space="preserve">1) l’Amministrazione </w:t>
      </w:r>
      <w:r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 xml:space="preserve"> </w:t>
      </w:r>
      <w:r w:rsidR="00326EBF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 xml:space="preserve">lo omette perché per legge dovrebbe </w:t>
      </w:r>
      <w:r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>dichiarare il comune strutturalmente de</w:t>
      </w:r>
      <w:r w:rsidR="00F30B5B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 xml:space="preserve">ficitario, cioè in </w:t>
      </w:r>
      <w:proofErr w:type="spellStart"/>
      <w:r w:rsidR="00F30B5B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>pre-dissesto</w:t>
      </w:r>
      <w:proofErr w:type="spellEnd"/>
      <w:r w:rsidR="00F30B5B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>; infatti un ente viene individuato strutturalmente deficitario quando sfora 4 parametri su 8, cioè la meta della tabella</w:t>
      </w:r>
      <w:r w:rsidR="00326EBF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 xml:space="preserve">,art.242 del </w:t>
      </w:r>
      <w:proofErr w:type="spellStart"/>
      <w:r w:rsidR="00326EBF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>Tuel</w:t>
      </w:r>
      <w:proofErr w:type="spellEnd"/>
      <w:r w:rsidR="00326EBF" w:rsidRPr="00317B00">
        <w:rPr>
          <w:rFonts w:ascii="Calibri" w:hAnsi="Calibri" w:cs="Calibri"/>
          <w:color w:val="000000"/>
          <w:sz w:val="22"/>
          <w:szCs w:val="22"/>
          <w:shd w:val="clear" w:color="auto" w:fill="F5FDFE"/>
        </w:rPr>
        <w:t>.</w:t>
      </w:r>
    </w:p>
    <w:p w:rsidR="008F602C" w:rsidRPr="00317B00" w:rsidRDefault="008F602C" w:rsidP="005B07F3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17B0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5FDFE"/>
        </w:rPr>
        <w:t>TUTTO CIO’ PREMESSO</w:t>
      </w:r>
    </w:p>
    <w:p w:rsidR="00FA5B8F" w:rsidRPr="00317B00" w:rsidRDefault="008F602C" w:rsidP="005B07F3">
      <w:pPr>
        <w:jc w:val="both"/>
        <w:rPr>
          <w:rFonts w:ascii="Calibri" w:eastAsia="Calibri" w:hAnsi="Calibri" w:cs="Calibri"/>
          <w:iCs/>
          <w:color w:val="000000" w:themeColor="text1"/>
          <w:sz w:val="22"/>
          <w:szCs w:val="22"/>
        </w:rPr>
      </w:pPr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lastRenderedPageBreak/>
        <w:t xml:space="preserve">I consiglieri dichiarano </w:t>
      </w:r>
      <w:r w:rsidRPr="00317B00">
        <w:rPr>
          <w:rFonts w:ascii="Calibri" w:eastAsia="Calibri" w:hAnsi="Calibri" w:cs="Calibri"/>
          <w:b/>
          <w:bCs/>
          <w:iCs/>
          <w:color w:val="000000" w:themeColor="text1"/>
          <w:sz w:val="22"/>
          <w:szCs w:val="22"/>
          <w:u w:val="single"/>
        </w:rPr>
        <w:t>VOTO CONTRARIO</w:t>
      </w:r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 xml:space="preserve"> al bilancio finanziario 2025-2027 </w:t>
      </w:r>
      <w:proofErr w:type="spellStart"/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>perchè</w:t>
      </w:r>
      <w:proofErr w:type="spellEnd"/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 xml:space="preserve"> tutte voci economiche sia in entrata che in uscita del bilancio non sono attendibili, veritieri,congrui e soprattutto non rispettano i principi contabili di cui al </w:t>
      </w:r>
      <w:proofErr w:type="spellStart"/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>D.lgs</w:t>
      </w:r>
      <w:proofErr w:type="spellEnd"/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 xml:space="preserve"> n.118 /2011</w:t>
      </w:r>
    </w:p>
    <w:p w:rsidR="00326EBF" w:rsidRPr="00317B00" w:rsidRDefault="00326EBF" w:rsidP="005B07F3">
      <w:pPr>
        <w:jc w:val="both"/>
        <w:rPr>
          <w:rFonts w:ascii="Calibri" w:hAnsi="Calibri" w:cs="Calibri"/>
          <w:sz w:val="22"/>
          <w:szCs w:val="22"/>
        </w:rPr>
      </w:pPr>
      <w:r w:rsidRPr="00317B00">
        <w:rPr>
          <w:rFonts w:ascii="Calibri" w:eastAsia="Calibri" w:hAnsi="Calibri" w:cs="Calibri"/>
          <w:iCs/>
          <w:color w:val="000000" w:themeColor="text1"/>
          <w:sz w:val="22"/>
          <w:szCs w:val="22"/>
        </w:rPr>
        <w:t>LORENZO ITALIANO,GIUSEPPE CRISAFULLI</w:t>
      </w:r>
    </w:p>
    <w:p w:rsidR="00FA5B8F" w:rsidRPr="00317B00" w:rsidRDefault="00FA5B8F" w:rsidP="00D451F4">
      <w:pPr>
        <w:rPr>
          <w:rFonts w:ascii="Calibri" w:hAnsi="Calibri" w:cs="Calibri"/>
          <w:sz w:val="22"/>
          <w:szCs w:val="22"/>
        </w:rPr>
      </w:pPr>
    </w:p>
    <w:p w:rsidR="00853BC9" w:rsidRPr="00317B00" w:rsidRDefault="00853BC9" w:rsidP="00D451F4">
      <w:pPr>
        <w:rPr>
          <w:rFonts w:ascii="Calibri" w:hAnsi="Calibri" w:cs="Calibri"/>
          <w:sz w:val="22"/>
          <w:szCs w:val="22"/>
        </w:rPr>
      </w:pPr>
    </w:p>
    <w:sectPr w:rsidR="00853BC9" w:rsidRPr="00317B00" w:rsidSect="00524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51F4"/>
    <w:rsid w:val="00035FE7"/>
    <w:rsid w:val="000913D9"/>
    <w:rsid w:val="000C6535"/>
    <w:rsid w:val="000D6CA7"/>
    <w:rsid w:val="001F3BDF"/>
    <w:rsid w:val="00231DE5"/>
    <w:rsid w:val="00260CA4"/>
    <w:rsid w:val="00317B00"/>
    <w:rsid w:val="00326EBF"/>
    <w:rsid w:val="00340D3E"/>
    <w:rsid w:val="003A1344"/>
    <w:rsid w:val="004351F3"/>
    <w:rsid w:val="00524B8C"/>
    <w:rsid w:val="005B07F3"/>
    <w:rsid w:val="005E0A28"/>
    <w:rsid w:val="006F40FF"/>
    <w:rsid w:val="00853BC9"/>
    <w:rsid w:val="0089630A"/>
    <w:rsid w:val="008F602C"/>
    <w:rsid w:val="009610A2"/>
    <w:rsid w:val="009D7722"/>
    <w:rsid w:val="00B53726"/>
    <w:rsid w:val="00B65E65"/>
    <w:rsid w:val="00B676F7"/>
    <w:rsid w:val="00D451F4"/>
    <w:rsid w:val="00E1293B"/>
    <w:rsid w:val="00E765F9"/>
    <w:rsid w:val="00EF480F"/>
    <w:rsid w:val="00F30B5B"/>
    <w:rsid w:val="00FA28F8"/>
    <w:rsid w:val="00FA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B8C"/>
  </w:style>
  <w:style w:type="paragraph" w:styleId="Titolo1">
    <w:name w:val="heading 1"/>
    <w:basedOn w:val="Normale"/>
    <w:next w:val="Normale"/>
    <w:link w:val="Titolo1Carattere"/>
    <w:uiPriority w:val="9"/>
    <w:qFormat/>
    <w:rsid w:val="00D4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1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1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1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1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1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1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1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51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51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1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5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core-i3</cp:lastModifiedBy>
  <cp:revision>2</cp:revision>
  <cp:lastPrinted>2024-12-30T15:35:00Z</cp:lastPrinted>
  <dcterms:created xsi:type="dcterms:W3CDTF">2024-12-30T15:38:00Z</dcterms:created>
  <dcterms:modified xsi:type="dcterms:W3CDTF">2024-12-30T15:38:00Z</dcterms:modified>
</cp:coreProperties>
</file>